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>Anexo VII</w:t>
      </w:r>
    </w:p>
    <w:p>
      <w:pPr>
        <w:pStyle w:val="Normal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libri" w:hAnsi="Calibri"/>
          <w:b/>
          <w:sz w:val="24"/>
          <w:szCs w:val="24"/>
        </w:rPr>
        <w:t>Valores de referência para ajuda de custo ao discente</w:t>
      </w:r>
    </w:p>
    <w:p>
      <w:pPr>
        <w:pStyle w:val="Normal"/>
        <w:spacing w:before="0" w:after="200"/>
        <w:jc w:val="center"/>
        <w:rPr>
          <w:rFonts w:ascii="Calibri" w:hAnsi="Calibri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libri" w:hAnsi="Calibri"/>
          <w:b/>
          <w:sz w:val="24"/>
          <w:szCs w:val="24"/>
        </w:rPr>
      </w:r>
    </w:p>
    <w:tbl>
      <w:tblPr>
        <w:tblStyle w:val="a"/>
        <w:tblW w:w="14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344"/>
        <w:gridCol w:w="975"/>
        <w:gridCol w:w="1140"/>
        <w:gridCol w:w="990"/>
        <w:gridCol w:w="1800"/>
        <w:gridCol w:w="1620"/>
        <w:gridCol w:w="1860"/>
      </w:tblGrid>
      <w:tr>
        <w:trPr>
          <w:trHeight w:val="440" w:hRule="atLeast"/>
        </w:trPr>
        <w:tc>
          <w:tcPr>
            <w:tcW w:w="6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Calibri" w:hAnsi="Calibri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Característica da visita técnica</w:t>
            </w:r>
          </w:p>
        </w:tc>
        <w:tc>
          <w:tcPr>
            <w:tcW w:w="8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Descrição da ajuda de custo e valores de referência, por discente.</w:t>
            </w:r>
          </w:p>
        </w:tc>
      </w:tr>
      <w:tr>
        <w:trPr>
          <w:trHeight w:val="440" w:hRule="atLeast"/>
        </w:trPr>
        <w:tc>
          <w:tcPr>
            <w:tcW w:w="6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Calibri" w:hAnsi="Calibri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Café</w:t>
            </w:r>
          </w:p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(R$)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Almoço</w:t>
            </w:r>
          </w:p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(R$)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Jantar</w:t>
            </w:r>
          </w:p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(RS)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Sub Total</w:t>
            </w:r>
          </w:p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(R$)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Hospedagem</w:t>
            </w:r>
          </w:p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(R$)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4BC96" w:themeFill="background2" w:themeFillShade="bf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Valor Total</w:t>
            </w:r>
          </w:p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/>
                <w:sz w:val="24"/>
                <w:szCs w:val="24"/>
              </w:rPr>
              <w:t>(R$)</w:t>
            </w:r>
          </w:p>
        </w:tc>
      </w:tr>
      <w:tr>
        <w:trPr>
          <w:trHeight w:val="440" w:hRule="atLeast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Visitas técnicas em cidades com população igual ou superior a 100.000 habitantes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15,00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25,00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55,00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70,00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125,00</w:t>
            </w:r>
          </w:p>
        </w:tc>
      </w:tr>
      <w:tr>
        <w:trPr>
          <w:trHeight w:val="440" w:hRule="atLeast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Visitas técnicas em cidades com população igual ou superior a 50.000 habitantes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45,00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60,00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105,00</w:t>
            </w:r>
          </w:p>
        </w:tc>
      </w:tr>
      <w:tr>
        <w:trPr>
          <w:trHeight w:val="440" w:hRule="atLeast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Visitas técnicas em cidades com população igual ou superior a 10.000 habitantes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60,00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100,00</w:t>
            </w:r>
          </w:p>
        </w:tc>
      </w:tr>
      <w:tr>
        <w:trPr>
          <w:trHeight w:val="440" w:hRule="atLeast"/>
        </w:trPr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Visitas técnicas em cidades com população inferior a 10.000 habitantes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15,00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10,00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35,00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60,00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sz w:val="24"/>
                <w:szCs w:val="24"/>
              </w:rPr>
              <w:t>95,00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6838" w:h="11906"/>
      <w:pgMar w:left="1440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/>
      <w:jc w:val="center"/>
      <w:rPr/>
    </w:pPr>
    <w:r>
      <w:rPr>
        <w:sz w:val="16"/>
        <w:szCs w:val="16"/>
      </w:rPr>
      <w:t xml:space="preserve">Instituto Federal de Educação, Ciência e Tecnologia do Sertão Pernambucano – Campus Santa Maria da Boa Vista, BR 428, Km 90, Zona Rural, s/n - CEP: 56.380-000 - Santa Maria da Boa Vista - PE | </w:t>
    </w:r>
    <w:hyperlink r:id="rId1">
      <w:r>
        <w:rPr>
          <w:rStyle w:val="ListLabel1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-352425</wp:posOffset>
          </wp:positionH>
          <wp:positionV relativeFrom="paragraph">
            <wp:posOffset>342900</wp:posOffset>
          </wp:positionV>
          <wp:extent cx="1141095" cy="274955"/>
          <wp:effectExtent l="0" t="0" r="0" b="0"/>
          <wp:wrapNone/>
          <wp:docPr id="1" name="image4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4078605</wp:posOffset>
          </wp:positionH>
          <wp:positionV relativeFrom="paragraph">
            <wp:posOffset>23495</wp:posOffset>
          </wp:positionV>
          <wp:extent cx="668655" cy="655955"/>
          <wp:effectExtent l="0" t="0" r="0" b="0"/>
          <wp:wrapTopAndBottom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SERTÃO PERNAMBUCANO</w:t>
    </w:r>
  </w:p>
  <w:p>
    <w:pPr>
      <w:pStyle w:val="Normal"/>
      <w:jc w:val="center"/>
      <w:rPr>
        <w:b/>
        <w:b/>
        <w:sz w:val="16"/>
        <w:szCs w:val="16"/>
      </w:rPr>
    </w:pPr>
    <w:r>
      <w:rPr>
        <w:b/>
        <w:sz w:val="16"/>
        <w:szCs w:val="16"/>
      </w:rPr>
      <w:t>CAMPUS SANTA MARIA DA BOA VISTA</w:t>
    </w:r>
    <w:r>
      <w:rPr>
        <w:b/>
        <w:color w:val="FF0000"/>
        <w:sz w:val="16"/>
        <w:szCs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99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c212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c2127"/>
    <w:rPr/>
  </w:style>
  <w:style w:type="character" w:styleId="ListLabel1">
    <w:name w:val="ListLabel 1"/>
    <w:qFormat/>
    <w:rPr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c2127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dc2127"/>
    <w:pPr>
      <w:tabs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LibreOffice/6.0.5.2$Windows_X86_64 LibreOffice_project/54c8cbb85f300ac59db32fe8a675ff7683cd5a16</Application>
  <Pages>1</Pages>
  <Words>171</Words>
  <Characters>929</Characters>
  <CharactersWithSpaces>1053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2018-04-04T17:59:00Z</dcterms:created>
  <dc:creator/>
  <dc:description/>
  <dc:language>pt-BR</dc:language>
  <cp:lastModifiedBy/>
  <dcterms:modified xsi:type="dcterms:W3CDTF">2019-09-26T14:56:25Z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